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7404A8" w14:textId="75F2B737" w:rsidR="002B68CD" w:rsidRDefault="00CA2851">
      <w:pPr>
        <w:spacing w:after="100"/>
        <w:jc w:val="center"/>
      </w:pPr>
      <w:r>
        <w:rPr>
          <w:b/>
          <w:bCs/>
          <w:color w:val="5052A3"/>
          <w:sz w:val="28"/>
          <w:szCs w:val="28"/>
        </w:rPr>
        <w:t>Glean® Urodynamics System — Press Release Template</w:t>
      </w:r>
    </w:p>
    <w:p w14:paraId="6BE378D8" w14:textId="77777777" w:rsidR="002B68CD" w:rsidRDefault="00CA2851">
      <w:pPr>
        <w:spacing w:after="400"/>
        <w:jc w:val="center"/>
      </w:pPr>
      <w:r>
        <w:rPr>
          <w:i/>
          <w:iCs/>
          <w:color w:val="5DC6DD"/>
          <w:sz w:val="20"/>
          <w:szCs w:val="20"/>
        </w:rPr>
        <w:t>Local / Regional "First to Adopt" Announcements — For Institution &amp; KOL Use</w:t>
      </w:r>
    </w:p>
    <w:p w14:paraId="2AE6A01A" w14:textId="77777777" w:rsidR="00C12BDB" w:rsidRDefault="00CA2851">
      <w:pPr>
        <w:spacing w:after="100"/>
        <w:rPr>
          <w:b/>
          <w:bCs/>
        </w:rPr>
      </w:pPr>
      <w:r>
        <w:rPr>
          <w:b/>
          <w:bCs/>
        </w:rPr>
        <w:t>(Institution) Urology Team Among First in Nation to Perform Multi-Channel Urodynamics with Glean®</w:t>
      </w:r>
      <w:r w:rsidR="0008644B">
        <w:rPr>
          <w:b/>
          <w:bCs/>
        </w:rPr>
        <w:t xml:space="preserve"> Urodynamics System</w:t>
      </w:r>
    </w:p>
    <w:p w14:paraId="5B5C3801" w14:textId="44487613" w:rsidR="002B68CD" w:rsidRPr="00C12BDB" w:rsidRDefault="00C12BDB">
      <w:pPr>
        <w:spacing w:after="100"/>
        <w:rPr>
          <w:i/>
        </w:rPr>
      </w:pPr>
      <w:r w:rsidRPr="00C12BDB">
        <w:rPr>
          <w:bCs/>
          <w:i/>
        </w:rPr>
        <w:t>Glean Now Provides Multi-Channel Urodynamics — Wireless and Catheter-Free</w:t>
      </w:r>
    </w:p>
    <w:p w14:paraId="7587D4D1" w14:textId="776FF14F" w:rsidR="002B68CD" w:rsidRDefault="00CA2851">
      <w:pPr>
        <w:spacing w:after="200"/>
      </w:pPr>
      <w:r w:rsidRPr="001F38FB">
        <w:rPr>
          <w:b/>
          <w:bCs/>
          <w:color w:val="C00000"/>
        </w:rPr>
        <w:t>(city/state)</w:t>
      </w:r>
      <w:r w:rsidRPr="001F38FB">
        <w:rPr>
          <w:color w:val="C00000"/>
        </w:rPr>
        <w:t xml:space="preserve"> – </w:t>
      </w:r>
      <w:r w:rsidRPr="001F38FB">
        <w:rPr>
          <w:b/>
          <w:bCs/>
          <w:color w:val="C00000"/>
        </w:rPr>
        <w:t>(date)</w:t>
      </w:r>
      <w:r w:rsidRPr="001F38FB">
        <w:rPr>
          <w:color w:val="C00000"/>
        </w:rPr>
        <w:t xml:space="preserve"> </w:t>
      </w:r>
      <w:r>
        <w:t xml:space="preserve">— Dr. </w:t>
      </w:r>
      <w:r w:rsidRPr="001F38FB">
        <w:rPr>
          <w:color w:val="C00000"/>
        </w:rPr>
        <w:t>(name)</w:t>
      </w:r>
      <w:r>
        <w:t xml:space="preserve"> and Dr. </w:t>
      </w:r>
      <w:r w:rsidRPr="001F38FB">
        <w:rPr>
          <w:color w:val="C00000"/>
        </w:rPr>
        <w:t>(name)</w:t>
      </w:r>
      <w:r>
        <w:t xml:space="preserve"> of </w:t>
      </w:r>
      <w:r w:rsidRPr="001F38FB">
        <w:rPr>
          <w:color w:val="C00000"/>
        </w:rPr>
        <w:t>(institution – link)</w:t>
      </w:r>
      <w:r>
        <w:t xml:space="preserve"> are among the first in the nation—and </w:t>
      </w:r>
      <w:r w:rsidR="001F38FB">
        <w:t>(state)</w:t>
      </w:r>
      <w:r>
        <w:t xml:space="preserve">'s very first—to </w:t>
      </w:r>
      <w:r w:rsidR="0008644B">
        <w:t xml:space="preserve">implement the Glean Urodynamics System, which includes </w:t>
      </w:r>
      <w:r>
        <w:t xml:space="preserve">the </w:t>
      </w:r>
      <w:r w:rsidRPr="0008644B">
        <w:t>Glean® Bladder Sensor</w:t>
      </w:r>
      <w:r>
        <w:t xml:space="preserve"> </w:t>
      </w:r>
      <w:r w:rsidR="0008644B">
        <w:t xml:space="preserve">and the </w:t>
      </w:r>
      <w:r>
        <w:t>newly FDA-cleared Glean® Abdominal Sensor</w:t>
      </w:r>
      <w:r w:rsidR="001F38FB">
        <w:t>. Together, the sensors enable</w:t>
      </w:r>
      <w:r>
        <w:t xml:space="preserve"> full multi-channel urodynamic studies </w:t>
      </w:r>
      <w:r w:rsidR="001F38FB">
        <w:t xml:space="preserve">on </w:t>
      </w:r>
      <w:r>
        <w:t xml:space="preserve">Glean's </w:t>
      </w:r>
      <w:r w:rsidR="001F38FB">
        <w:t xml:space="preserve">revolutionary </w:t>
      </w:r>
      <w:r>
        <w:t>wireless, catheter-free, ambulatory platform.</w:t>
      </w:r>
    </w:p>
    <w:p w14:paraId="76FC5DEB" w14:textId="77777777" w:rsidR="002B68CD" w:rsidRDefault="00CA2851">
      <w:pPr>
        <w:spacing w:after="200"/>
      </w:pPr>
      <w:r>
        <w:t>An estimated 80 million</w:t>
      </w:r>
      <w:r>
        <w:rPr>
          <w:vertAlign w:val="superscript"/>
        </w:rPr>
        <w:t>1-4</w:t>
      </w:r>
      <w:r>
        <w:t xml:space="preserve"> Americans suffer from voiding problems, including overactive bladder, urinary incontinence, enlarged prostate (BPH) and neurogenic bladder. Urodynamics is the science of testing how well the bladder, sphincters, and urethra hold and release urine to determine the source of leaks or blockages. With the addition of the Abdominal Sensor, Glean now offers true multi-channel urodynamics—combining vesical, abdominal, and detrusor pressure measurement with its existing uroflow test to give clinicians a fuller picture of whether symptoms originate from the bladder, urethra, or sphincter.</w:t>
      </w:r>
    </w:p>
    <w:p w14:paraId="4AABF449" w14:textId="440D0D9F" w:rsidR="002B68CD" w:rsidRDefault="00CA2851">
      <w:pPr>
        <w:spacing w:after="200"/>
      </w:pPr>
      <w:r>
        <w:t>Th</w:t>
      </w:r>
      <w:r w:rsidR="0008644B">
        <w:t>is innovation addresses</w:t>
      </w:r>
      <w:r>
        <w:t xml:space="preserve"> a critical gap </w:t>
      </w:r>
      <w:r w:rsidR="001F38FB">
        <w:t>in</w:t>
      </w:r>
      <w:r>
        <w:t xml:space="preserve"> conventional urodynamics</w:t>
      </w:r>
      <w:r w:rsidR="0008644B">
        <w:t xml:space="preserve"> where </w:t>
      </w:r>
      <w:r>
        <w:t>patients are unable to reproduce their bladder symptoms</w:t>
      </w:r>
      <w:r w:rsidR="001F38FB">
        <w:t xml:space="preserve"> 46% of the time,</w:t>
      </w:r>
      <w:r w:rsidR="009B4288">
        <w:rPr>
          <w:vertAlign w:val="superscript"/>
        </w:rPr>
        <w:t>5</w:t>
      </w:r>
      <w:r>
        <w:t xml:space="preserve"> limiting diagnostic yield in the very setting meant to capture them. By enabling ambulatory, multi-channel monitoring </w:t>
      </w:r>
      <w:r w:rsidR="0008644B">
        <w:t>that collects physiologic bladder data,</w:t>
      </w:r>
      <w:r>
        <w:t xml:space="preserve"> Glean is designed to help close that reproducibility gap.</w:t>
      </w:r>
    </w:p>
    <w:p w14:paraId="1AE19119" w14:textId="3FDD43A4" w:rsidR="002B68CD" w:rsidRDefault="00CA2851">
      <w:pPr>
        <w:spacing w:after="200"/>
      </w:pPr>
      <w:r>
        <w:t>The Glean system moves beyond current catheter-based urethral pressure testing, which is uncomfortable for patients</w:t>
      </w:r>
      <w:r w:rsidR="009B4288">
        <w:rPr>
          <w:vertAlign w:val="superscript"/>
        </w:rPr>
        <w:t>6</w:t>
      </w:r>
      <w:r>
        <w:t xml:space="preserve"> and often generates imprecise data</w:t>
      </w:r>
      <w:r w:rsidR="009B4288">
        <w:rPr>
          <w:vertAlign w:val="superscript"/>
        </w:rPr>
        <w:t>7</w:t>
      </w:r>
      <w:r>
        <w:t>. Glean delivers more accurate data</w:t>
      </w:r>
      <w:r w:rsidR="009B4288">
        <w:rPr>
          <w:vertAlign w:val="superscript"/>
        </w:rPr>
        <w:t>8</w:t>
      </w:r>
      <w:r>
        <w:t xml:space="preserve"> to enable better-informed treatment plans and is preferred by patients over conventional urodynamics (cUDS)</w:t>
      </w:r>
      <w:r w:rsidR="00C12BDB">
        <w:rPr>
          <w:vertAlign w:val="superscript"/>
        </w:rPr>
        <w:t>9</w:t>
      </w:r>
      <w:r>
        <w:t>.</w:t>
      </w:r>
    </w:p>
    <w:p w14:paraId="5A881F1B" w14:textId="6ACC8E59" w:rsidR="002B68CD" w:rsidRDefault="00CA2851">
      <w:pPr>
        <w:spacing w:after="200"/>
      </w:pPr>
      <w:r w:rsidRPr="001F38FB">
        <w:rPr>
          <w:i/>
          <w:iCs/>
          <w:color w:val="C00000"/>
        </w:rPr>
        <w:t xml:space="preserve">(insert quote from physician addressing multi-channel urodynamics, the value of adding abdominal pressure data, ease of adopting the new sensor, or patient experience vs. conventional UDS) </w:t>
      </w:r>
      <w:r>
        <w:t>“(</w:t>
      </w:r>
      <w:r w:rsidR="001F38FB">
        <w:t>example</w:t>
      </w:r>
      <w:r>
        <w:t>)—Glean's multi-channel capability gives us a complete, physiologic picture of a patient's lower urinary tract function without the discomfort of catheterization,” said Dr. (name). “Being able to capture bladder, detrusor, and abdominal pressure together helps us make more confident treatment decisions.”</w:t>
      </w:r>
    </w:p>
    <w:p w14:paraId="331E4366" w14:textId="6DCB6E1F" w:rsidR="002B68CD" w:rsidRDefault="00CA2851">
      <w:pPr>
        <w:spacing w:after="200"/>
      </w:pPr>
      <w:r>
        <w:t xml:space="preserve">As the first site in </w:t>
      </w:r>
      <w:r w:rsidR="001F38FB" w:rsidRPr="001F38FB">
        <w:rPr>
          <w:color w:val="C00000"/>
        </w:rPr>
        <w:t>(state)</w:t>
      </w:r>
      <w:r w:rsidRPr="001F38FB">
        <w:rPr>
          <w:color w:val="C00000"/>
        </w:rPr>
        <w:t xml:space="preserve"> </w:t>
      </w:r>
      <w:r>
        <w:t xml:space="preserve">to offer Glean's </w:t>
      </w:r>
      <w:r w:rsidR="001F38FB">
        <w:t xml:space="preserve">revolutionary </w:t>
      </w:r>
      <w:r>
        <w:t xml:space="preserve">ambulatory, multi-channel urodynamics platform, </w:t>
      </w:r>
      <w:r w:rsidRPr="001F38FB">
        <w:rPr>
          <w:color w:val="C00000"/>
        </w:rPr>
        <w:t>(institution)</w:t>
      </w:r>
      <w:r>
        <w:t xml:space="preserve"> continues to lead in advancing care for patients with pelvic floor disorders and lower urinary tract symptoms.</w:t>
      </w:r>
    </w:p>
    <w:p w14:paraId="2B0C6BCF" w14:textId="77777777" w:rsidR="002B68CD" w:rsidRPr="001F38FB" w:rsidRDefault="00CA2851">
      <w:pPr>
        <w:spacing w:after="200"/>
        <w:rPr>
          <w:color w:val="C00000"/>
        </w:rPr>
      </w:pPr>
      <w:r>
        <w:rPr>
          <w:b/>
          <w:bCs/>
        </w:rPr>
        <w:t xml:space="preserve">About </w:t>
      </w:r>
      <w:r w:rsidRPr="001F38FB">
        <w:rPr>
          <w:b/>
          <w:bCs/>
          <w:color w:val="C00000"/>
        </w:rPr>
        <w:t xml:space="preserve">(institution) </w:t>
      </w:r>
      <w:r>
        <w:rPr>
          <w:i/>
          <w:iCs/>
          <w:color w:val="808080"/>
        </w:rPr>
        <w:t xml:space="preserve">— </w:t>
      </w:r>
      <w:r w:rsidRPr="001F38FB">
        <w:rPr>
          <w:i/>
          <w:iCs/>
          <w:color w:val="C00000"/>
        </w:rPr>
        <w:t>use boilerplate</w:t>
      </w:r>
    </w:p>
    <w:p w14:paraId="1690B02E" w14:textId="77777777" w:rsidR="002B68CD" w:rsidRDefault="00CA2851">
      <w:pPr>
        <w:spacing w:after="100"/>
      </w:pPr>
      <w:r>
        <w:rPr>
          <w:b/>
          <w:bCs/>
        </w:rPr>
        <w:t>About Glean</w:t>
      </w:r>
    </w:p>
    <w:p w14:paraId="47C38F3B" w14:textId="72482A8E" w:rsidR="002B68CD" w:rsidRDefault="00CA2851">
      <w:pPr>
        <w:spacing w:after="200"/>
      </w:pPr>
      <w:r>
        <w:t>The Glean® Urodynamics System is a urodynamic analyzer system intended to quantify the pressure and flow characteristics of the lower urinary tract. Glean is the first and only method to perform wireless, catheter-free urodynamics—delivering more accurate data</w:t>
      </w:r>
      <w:r w:rsidR="009B4288">
        <w:rPr>
          <w:vertAlign w:val="superscript"/>
        </w:rPr>
        <w:t>8</w:t>
      </w:r>
      <w:r>
        <w:t>, quicker proficiency for clinical staff and a more dignified patient experience. With the addition of the Abdominal Sensor, the system now supports full multi-channel urodynamic studies, including uroflow, cystometrogram, urethral pressure profile, and micturition studies. The major application of urodynamics is the diagnosis of uncontrolled loss of urine (incontinence), abnormal urinary retention, or neurological cases of micturition disorder. The device is intended to be used as medical diagnostic equipment in adult patients only.</w:t>
      </w:r>
    </w:p>
    <w:p w14:paraId="345A9EF4" w14:textId="77777777" w:rsidR="002B68CD" w:rsidRDefault="00CA2851">
      <w:pPr>
        <w:spacing w:after="200"/>
      </w:pPr>
      <w:r>
        <w:lastRenderedPageBreak/>
        <w:t xml:space="preserve">Bright Uro has obtained an exclusive licensing agreement from Cleveland Clinic for technology developed in collaboration with the Department of Veterans Affairs, Case Western Reserve University, and Parker Hannifin Corporation. For more information, visit </w:t>
      </w:r>
      <w:hyperlink r:id="rId10" w:history="1">
        <w:r w:rsidR="002B68CD">
          <w:rPr>
            <w:rStyle w:val="Hyperlink"/>
          </w:rPr>
          <w:t>www.GleanUDS.com</w:t>
        </w:r>
      </w:hyperlink>
      <w:r>
        <w:t>.</w:t>
      </w:r>
    </w:p>
    <w:p w14:paraId="1390CC49" w14:textId="1B19DB54" w:rsidR="002B68CD" w:rsidRPr="001F38FB" w:rsidRDefault="00CA2851">
      <w:pPr>
        <w:spacing w:after="60"/>
        <w:rPr>
          <w:color w:val="C00000"/>
        </w:rPr>
      </w:pPr>
      <w:r>
        <w:rPr>
          <w:b/>
          <w:bCs/>
        </w:rPr>
        <w:t>Media Contact</w:t>
      </w:r>
      <w:r>
        <w:rPr>
          <w:i/>
          <w:iCs/>
          <w:color w:val="808080"/>
        </w:rPr>
        <w:t xml:space="preserve"> — </w:t>
      </w:r>
      <w:r w:rsidRPr="001F38FB">
        <w:rPr>
          <w:i/>
          <w:iCs/>
          <w:color w:val="C00000"/>
        </w:rPr>
        <w:t>use institution's PR/communications contact, not Bright Uro's</w:t>
      </w:r>
    </w:p>
    <w:p w14:paraId="34F9D799" w14:textId="77777777" w:rsidR="002B68CD" w:rsidRPr="001F38FB" w:rsidRDefault="00CA2851">
      <w:pPr>
        <w:spacing w:after="20"/>
        <w:rPr>
          <w:color w:val="C00000"/>
        </w:rPr>
      </w:pPr>
      <w:r w:rsidRPr="001F38FB">
        <w:rPr>
          <w:i/>
          <w:iCs/>
          <w:color w:val="C00000"/>
        </w:rPr>
        <w:t>(name)</w:t>
      </w:r>
    </w:p>
    <w:p w14:paraId="6FD0E291" w14:textId="77777777" w:rsidR="002B68CD" w:rsidRPr="001F38FB" w:rsidRDefault="00CA2851">
      <w:pPr>
        <w:spacing w:after="20"/>
        <w:rPr>
          <w:color w:val="C00000"/>
        </w:rPr>
      </w:pPr>
      <w:r w:rsidRPr="001F38FB">
        <w:rPr>
          <w:i/>
          <w:iCs/>
          <w:color w:val="C00000"/>
        </w:rPr>
        <w:t>(title)</w:t>
      </w:r>
    </w:p>
    <w:p w14:paraId="3B90DAA6" w14:textId="77777777" w:rsidR="002B68CD" w:rsidRPr="001F38FB" w:rsidRDefault="00CA2851">
      <w:pPr>
        <w:spacing w:after="20"/>
        <w:rPr>
          <w:color w:val="C00000"/>
        </w:rPr>
      </w:pPr>
      <w:r w:rsidRPr="001F38FB">
        <w:rPr>
          <w:i/>
          <w:iCs/>
          <w:color w:val="C00000"/>
        </w:rPr>
        <w:t>(phone)</w:t>
      </w:r>
    </w:p>
    <w:p w14:paraId="3F20E374" w14:textId="77777777" w:rsidR="002B68CD" w:rsidRPr="001F38FB" w:rsidRDefault="00CA2851">
      <w:pPr>
        <w:spacing w:after="200"/>
        <w:rPr>
          <w:color w:val="C00000"/>
        </w:rPr>
      </w:pPr>
      <w:r w:rsidRPr="001F38FB">
        <w:rPr>
          <w:i/>
          <w:iCs/>
          <w:color w:val="C00000"/>
        </w:rPr>
        <w:t>(email)</w:t>
      </w:r>
    </w:p>
    <w:p w14:paraId="6BC2A81D" w14:textId="77777777" w:rsidR="002B68CD" w:rsidRDefault="00CA2851">
      <w:pPr>
        <w:spacing w:after="100"/>
      </w:pPr>
      <w:r>
        <w:rPr>
          <w:b/>
          <w:bCs/>
        </w:rPr>
        <w:t>Citations</w:t>
      </w:r>
    </w:p>
    <w:p w14:paraId="25B84B9C" w14:textId="029714E0" w:rsidR="002B68CD" w:rsidRPr="0008644B" w:rsidRDefault="00CA2851" w:rsidP="0008644B">
      <w:pPr>
        <w:ind w:left="270" w:hanging="270"/>
        <w:rPr>
          <w:sz w:val="20"/>
          <w:szCs w:val="20"/>
        </w:rPr>
      </w:pPr>
      <w:r w:rsidRPr="0008644B">
        <w:rPr>
          <w:sz w:val="20"/>
          <w:szCs w:val="20"/>
        </w:rPr>
        <w:t>1.</w:t>
      </w:r>
      <w:r w:rsidR="0008644B">
        <w:rPr>
          <w:sz w:val="20"/>
          <w:szCs w:val="20"/>
        </w:rPr>
        <w:tab/>
      </w:r>
      <w:r w:rsidRPr="0008644B">
        <w:rPr>
          <w:sz w:val="20"/>
          <w:szCs w:val="20"/>
        </w:rPr>
        <w:t>Stewart WF, et al. World J Urol. 2003;20:327–336.</w:t>
      </w:r>
    </w:p>
    <w:p w14:paraId="2A3968E1" w14:textId="790893DD" w:rsidR="002B68CD" w:rsidRPr="009B4288" w:rsidRDefault="00CA2851" w:rsidP="0008644B">
      <w:pPr>
        <w:ind w:left="270" w:hanging="270"/>
        <w:rPr>
          <w:sz w:val="20"/>
          <w:szCs w:val="20"/>
        </w:rPr>
      </w:pPr>
      <w:r w:rsidRPr="0008644B">
        <w:rPr>
          <w:sz w:val="20"/>
          <w:szCs w:val="20"/>
        </w:rPr>
        <w:t xml:space="preserve">2. </w:t>
      </w:r>
      <w:r w:rsidR="0008644B">
        <w:rPr>
          <w:sz w:val="20"/>
          <w:szCs w:val="20"/>
        </w:rPr>
        <w:tab/>
      </w:r>
      <w:r w:rsidRPr="0008644B">
        <w:rPr>
          <w:sz w:val="20"/>
          <w:szCs w:val="20"/>
        </w:rPr>
        <w:t xml:space="preserve">NIDDK, NIH. Urologic Diseases in America Annual Data Report. </w:t>
      </w:r>
      <w:r w:rsidRPr="009B4288">
        <w:rPr>
          <w:sz w:val="20"/>
          <w:szCs w:val="20"/>
        </w:rPr>
        <w:t>April 26, 2024.</w:t>
      </w:r>
    </w:p>
    <w:p w14:paraId="777944F8" w14:textId="591D71DB" w:rsidR="002B68CD" w:rsidRPr="0008644B" w:rsidRDefault="00CA2851" w:rsidP="0008644B">
      <w:pPr>
        <w:ind w:left="270" w:hanging="270"/>
        <w:rPr>
          <w:sz w:val="20"/>
          <w:szCs w:val="20"/>
        </w:rPr>
      </w:pPr>
      <w:r w:rsidRPr="009B4288">
        <w:rPr>
          <w:sz w:val="20"/>
          <w:szCs w:val="20"/>
        </w:rPr>
        <w:t xml:space="preserve">3. </w:t>
      </w:r>
      <w:r w:rsidR="0008644B" w:rsidRPr="009B4288">
        <w:rPr>
          <w:sz w:val="20"/>
          <w:szCs w:val="20"/>
        </w:rPr>
        <w:tab/>
      </w:r>
      <w:r w:rsidRPr="009B4288">
        <w:rPr>
          <w:sz w:val="20"/>
          <w:szCs w:val="20"/>
        </w:rPr>
        <w:t xml:space="preserve">Dorsher PT, et al. </w:t>
      </w:r>
      <w:r w:rsidRPr="0008644B">
        <w:rPr>
          <w:sz w:val="20"/>
          <w:szCs w:val="20"/>
        </w:rPr>
        <w:t>Adv Urol. 2012;2012:816274.</w:t>
      </w:r>
    </w:p>
    <w:p w14:paraId="0257D802" w14:textId="59A5D6F8" w:rsidR="002B68CD" w:rsidRPr="0008644B" w:rsidRDefault="00CA2851" w:rsidP="0008644B">
      <w:pPr>
        <w:ind w:left="270" w:hanging="270"/>
        <w:rPr>
          <w:sz w:val="20"/>
          <w:szCs w:val="20"/>
        </w:rPr>
      </w:pPr>
      <w:r w:rsidRPr="0008644B">
        <w:rPr>
          <w:sz w:val="20"/>
          <w:szCs w:val="20"/>
        </w:rPr>
        <w:t xml:space="preserve">4. </w:t>
      </w:r>
      <w:r w:rsidR="0008644B">
        <w:rPr>
          <w:sz w:val="20"/>
          <w:szCs w:val="20"/>
        </w:rPr>
        <w:tab/>
      </w:r>
      <w:r w:rsidRPr="0008644B">
        <w:rPr>
          <w:sz w:val="20"/>
          <w:szCs w:val="20"/>
        </w:rPr>
        <w:t>Lee UJ, et al. J Urol. 2021;205(6):1718–1724.</w:t>
      </w:r>
    </w:p>
    <w:p w14:paraId="38A55B4D" w14:textId="5436EAD6" w:rsidR="009B4288" w:rsidRPr="0008644B" w:rsidRDefault="009B4288" w:rsidP="0008644B">
      <w:pPr>
        <w:ind w:left="270" w:hanging="270"/>
        <w:rPr>
          <w:sz w:val="20"/>
          <w:szCs w:val="20"/>
        </w:rPr>
      </w:pPr>
      <w:r>
        <w:rPr>
          <w:sz w:val="20"/>
          <w:szCs w:val="20"/>
        </w:rPr>
        <w:t>5.</w:t>
      </w:r>
      <w:r w:rsidRPr="0008644B">
        <w:rPr>
          <w:sz w:val="20"/>
          <w:szCs w:val="20"/>
        </w:rPr>
        <w:t xml:space="preserve"> </w:t>
      </w:r>
      <w:r>
        <w:rPr>
          <w:sz w:val="20"/>
          <w:szCs w:val="20"/>
        </w:rPr>
        <w:tab/>
      </w:r>
      <w:r w:rsidRPr="0008644B">
        <w:rPr>
          <w:sz w:val="20"/>
          <w:szCs w:val="20"/>
        </w:rPr>
        <w:t>Abelson B, et al. Nat Rev Urol. 2019. (46% bladder-symptom reproducibility figure — confirm exact citation and wording against source before publishing)</w:t>
      </w:r>
    </w:p>
    <w:p w14:paraId="7F066637" w14:textId="66D14C4E" w:rsidR="002B68CD" w:rsidRPr="009B4288" w:rsidRDefault="009B4288" w:rsidP="0008644B">
      <w:pPr>
        <w:ind w:left="270" w:hanging="270"/>
        <w:rPr>
          <w:sz w:val="20"/>
          <w:szCs w:val="20"/>
        </w:rPr>
      </w:pPr>
      <w:r>
        <w:rPr>
          <w:sz w:val="20"/>
          <w:szCs w:val="20"/>
        </w:rPr>
        <w:t>6.</w:t>
      </w:r>
      <w:r w:rsidR="00CA2851" w:rsidRPr="0008644B">
        <w:rPr>
          <w:sz w:val="20"/>
          <w:szCs w:val="20"/>
        </w:rPr>
        <w:t xml:space="preserve"> </w:t>
      </w:r>
      <w:r w:rsidR="0008644B">
        <w:rPr>
          <w:sz w:val="20"/>
          <w:szCs w:val="20"/>
        </w:rPr>
        <w:tab/>
      </w:r>
      <w:r w:rsidR="00CA2851" w:rsidRPr="0008644B">
        <w:rPr>
          <w:sz w:val="20"/>
          <w:szCs w:val="20"/>
        </w:rPr>
        <w:t xml:space="preserve">Suskind AM, et al. Urology. </w:t>
      </w:r>
      <w:r w:rsidR="00CA2851" w:rsidRPr="009B4288">
        <w:rPr>
          <w:sz w:val="20"/>
          <w:szCs w:val="20"/>
        </w:rPr>
        <w:t>2015 Mar;85(3):547-51.</w:t>
      </w:r>
    </w:p>
    <w:p w14:paraId="338C539B" w14:textId="0E851482" w:rsidR="002B68CD" w:rsidRPr="0008644B" w:rsidRDefault="009B4288" w:rsidP="0008644B">
      <w:pPr>
        <w:ind w:left="270" w:hanging="270"/>
        <w:rPr>
          <w:sz w:val="20"/>
          <w:szCs w:val="20"/>
        </w:rPr>
      </w:pPr>
      <w:r>
        <w:rPr>
          <w:sz w:val="20"/>
          <w:szCs w:val="20"/>
          <w:lang w:val="de-DE"/>
        </w:rPr>
        <w:t>7.</w:t>
      </w:r>
      <w:r w:rsidR="00CA2851" w:rsidRPr="0008644B">
        <w:rPr>
          <w:sz w:val="20"/>
          <w:szCs w:val="20"/>
          <w:lang w:val="de-DE"/>
        </w:rPr>
        <w:t xml:space="preserve"> </w:t>
      </w:r>
      <w:r w:rsidR="0008644B">
        <w:rPr>
          <w:sz w:val="20"/>
          <w:szCs w:val="20"/>
          <w:lang w:val="de-DE"/>
        </w:rPr>
        <w:tab/>
      </w:r>
      <w:r w:rsidR="00CA2851" w:rsidRPr="0008644B">
        <w:rPr>
          <w:sz w:val="20"/>
          <w:szCs w:val="20"/>
          <w:lang w:val="de-DE"/>
        </w:rPr>
        <w:t xml:space="preserve">Rahmanou P, et al. </w:t>
      </w:r>
      <w:r w:rsidR="00CA2851" w:rsidRPr="009B4288">
        <w:rPr>
          <w:sz w:val="20"/>
          <w:szCs w:val="20"/>
          <w:lang w:val="de-DE"/>
        </w:rPr>
        <w:t xml:space="preserve">Neurourol. </w:t>
      </w:r>
      <w:r w:rsidR="00CA2851" w:rsidRPr="0008644B">
        <w:rPr>
          <w:sz w:val="20"/>
          <w:szCs w:val="20"/>
        </w:rPr>
        <w:t>Urodyn. 2011, 30:1356–1360.</w:t>
      </w:r>
    </w:p>
    <w:p w14:paraId="29702306" w14:textId="51D5B391" w:rsidR="002B68CD" w:rsidRPr="0008644B" w:rsidRDefault="009B4288" w:rsidP="0008644B">
      <w:pPr>
        <w:ind w:left="270" w:hanging="270"/>
        <w:rPr>
          <w:sz w:val="20"/>
          <w:szCs w:val="20"/>
        </w:rPr>
      </w:pPr>
      <w:r>
        <w:rPr>
          <w:sz w:val="20"/>
          <w:szCs w:val="20"/>
        </w:rPr>
        <w:t>8.</w:t>
      </w:r>
      <w:r w:rsidR="00CA2851" w:rsidRPr="0008644B">
        <w:rPr>
          <w:sz w:val="20"/>
          <w:szCs w:val="20"/>
        </w:rPr>
        <w:t xml:space="preserve"> </w:t>
      </w:r>
      <w:r w:rsidR="0008644B">
        <w:rPr>
          <w:sz w:val="20"/>
          <w:szCs w:val="20"/>
        </w:rPr>
        <w:tab/>
      </w:r>
      <w:r w:rsidR="00CA2851" w:rsidRPr="0008644B">
        <w:rPr>
          <w:sz w:val="20"/>
          <w:szCs w:val="20"/>
        </w:rPr>
        <w:t>Hamson, et al. J Endourology, online, 2026; 0(0).</w:t>
      </w:r>
    </w:p>
    <w:p w14:paraId="35E9320D" w14:textId="2FF12B60" w:rsidR="002B68CD" w:rsidRPr="0008644B" w:rsidRDefault="009B4288" w:rsidP="0008644B">
      <w:pPr>
        <w:ind w:left="270" w:hanging="270"/>
        <w:rPr>
          <w:sz w:val="20"/>
          <w:szCs w:val="20"/>
        </w:rPr>
      </w:pPr>
      <w:r>
        <w:rPr>
          <w:sz w:val="20"/>
          <w:szCs w:val="20"/>
        </w:rPr>
        <w:t>9.</w:t>
      </w:r>
      <w:r w:rsidR="00CA2851" w:rsidRPr="0008644B">
        <w:rPr>
          <w:sz w:val="20"/>
          <w:szCs w:val="20"/>
        </w:rPr>
        <w:t xml:space="preserve"> </w:t>
      </w:r>
      <w:r w:rsidR="0008644B">
        <w:rPr>
          <w:sz w:val="20"/>
          <w:szCs w:val="20"/>
        </w:rPr>
        <w:tab/>
      </w:r>
      <w:r w:rsidR="00CA2851" w:rsidRPr="0008644B">
        <w:rPr>
          <w:sz w:val="20"/>
          <w:szCs w:val="20"/>
        </w:rPr>
        <w:t>Kim, J. et al. J Endourology, 2025; 39(6):625-634.</w:t>
      </w:r>
    </w:p>
    <w:sectPr w:rsidR="002B68CD" w:rsidRPr="0008644B">
      <w:headerReference w:type="even" r:id="rId11"/>
      <w:headerReference w:type="default" r:id="rId12"/>
      <w:footerReference w:type="even" r:id="rId13"/>
      <w:footerReference w:type="default" r:id="rId14"/>
      <w:headerReference w:type="first" r:id="rId15"/>
      <w:footerReference w:type="first" r:id="rId16"/>
      <w:pgSz w:w="12240" w:h="15840"/>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02658E" w14:textId="77777777" w:rsidR="003D72C4" w:rsidRDefault="003D72C4" w:rsidP="009B4288">
      <w:r>
        <w:separator/>
      </w:r>
    </w:p>
  </w:endnote>
  <w:endnote w:type="continuationSeparator" w:id="0">
    <w:p w14:paraId="1EA2A1E6" w14:textId="77777777" w:rsidR="003D72C4" w:rsidRDefault="003D72C4" w:rsidP="009B42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60723" w14:textId="77777777" w:rsidR="009B4288" w:rsidRDefault="009B428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29797" w14:textId="77777777" w:rsidR="009B4288" w:rsidRDefault="009B428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964A6" w14:textId="77777777" w:rsidR="009B4288" w:rsidRDefault="009B42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75CFE4" w14:textId="77777777" w:rsidR="003D72C4" w:rsidRDefault="003D72C4" w:rsidP="009B4288">
      <w:r>
        <w:separator/>
      </w:r>
    </w:p>
  </w:footnote>
  <w:footnote w:type="continuationSeparator" w:id="0">
    <w:p w14:paraId="125F9840" w14:textId="77777777" w:rsidR="003D72C4" w:rsidRDefault="003D72C4" w:rsidP="009B42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4E133" w14:textId="77777777" w:rsidR="009B4288" w:rsidRDefault="009B428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6B03B" w14:textId="77777777" w:rsidR="009B4288" w:rsidRDefault="009B428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C9752" w14:textId="77777777" w:rsidR="009B4288" w:rsidRDefault="009B42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F1383C"/>
    <w:multiLevelType w:val="hybridMultilevel"/>
    <w:tmpl w:val="4A96F42A"/>
    <w:lvl w:ilvl="0" w:tplc="B1BAC28A">
      <w:start w:val="1"/>
      <w:numFmt w:val="bullet"/>
      <w:lvlText w:val="●"/>
      <w:lvlJc w:val="left"/>
      <w:pPr>
        <w:ind w:left="720" w:hanging="360"/>
      </w:pPr>
    </w:lvl>
    <w:lvl w:ilvl="1" w:tplc="A13CF740">
      <w:start w:val="1"/>
      <w:numFmt w:val="bullet"/>
      <w:lvlText w:val="○"/>
      <w:lvlJc w:val="left"/>
      <w:pPr>
        <w:ind w:left="1440" w:hanging="360"/>
      </w:pPr>
    </w:lvl>
    <w:lvl w:ilvl="2" w:tplc="D68C6340">
      <w:start w:val="1"/>
      <w:numFmt w:val="bullet"/>
      <w:lvlText w:val="■"/>
      <w:lvlJc w:val="left"/>
      <w:pPr>
        <w:ind w:left="2160" w:hanging="360"/>
      </w:pPr>
    </w:lvl>
    <w:lvl w:ilvl="3" w:tplc="2E9455F4">
      <w:start w:val="1"/>
      <w:numFmt w:val="bullet"/>
      <w:lvlText w:val="●"/>
      <w:lvlJc w:val="left"/>
      <w:pPr>
        <w:ind w:left="2880" w:hanging="360"/>
      </w:pPr>
    </w:lvl>
    <w:lvl w:ilvl="4" w:tplc="C6A4240E">
      <w:start w:val="1"/>
      <w:numFmt w:val="bullet"/>
      <w:lvlText w:val="○"/>
      <w:lvlJc w:val="left"/>
      <w:pPr>
        <w:ind w:left="3600" w:hanging="360"/>
      </w:pPr>
    </w:lvl>
    <w:lvl w:ilvl="5" w:tplc="B8984CF6">
      <w:start w:val="1"/>
      <w:numFmt w:val="bullet"/>
      <w:lvlText w:val="■"/>
      <w:lvlJc w:val="left"/>
      <w:pPr>
        <w:ind w:left="4320" w:hanging="360"/>
      </w:pPr>
    </w:lvl>
    <w:lvl w:ilvl="6" w:tplc="C998892C">
      <w:start w:val="1"/>
      <w:numFmt w:val="bullet"/>
      <w:lvlText w:val="●"/>
      <w:lvlJc w:val="left"/>
      <w:pPr>
        <w:ind w:left="5040" w:hanging="360"/>
      </w:pPr>
    </w:lvl>
    <w:lvl w:ilvl="7" w:tplc="C12EAE64">
      <w:start w:val="1"/>
      <w:numFmt w:val="bullet"/>
      <w:lvlText w:val="●"/>
      <w:lvlJc w:val="left"/>
      <w:pPr>
        <w:ind w:left="5760" w:hanging="360"/>
      </w:pPr>
    </w:lvl>
    <w:lvl w:ilvl="8" w:tplc="BABC7912">
      <w:start w:val="1"/>
      <w:numFmt w:val="bullet"/>
      <w:lvlText w:val="●"/>
      <w:lvlJc w:val="left"/>
      <w:pPr>
        <w:ind w:left="6480" w:hanging="360"/>
      </w:pPr>
    </w:lvl>
  </w:abstractNum>
  <w:num w:numId="1" w16cid:durableId="88240196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displayBackgroundShape/>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68CD"/>
    <w:rsid w:val="0008644B"/>
    <w:rsid w:val="001F38FB"/>
    <w:rsid w:val="002B68CD"/>
    <w:rsid w:val="0031464F"/>
    <w:rsid w:val="003D72C4"/>
    <w:rsid w:val="005301AF"/>
    <w:rsid w:val="0053491A"/>
    <w:rsid w:val="006143AC"/>
    <w:rsid w:val="00683358"/>
    <w:rsid w:val="007B3054"/>
    <w:rsid w:val="009B4288"/>
    <w:rsid w:val="00A266A7"/>
    <w:rsid w:val="00C12BDB"/>
    <w:rsid w:val="00CA28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FAFF0A"/>
  <w15:docId w15:val="{0DB2BE6E-09F7-43F2-8803-DF9FB3C29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9B4288"/>
    <w:pPr>
      <w:tabs>
        <w:tab w:val="center" w:pos="4680"/>
        <w:tab w:val="right" w:pos="9360"/>
      </w:tabs>
    </w:pPr>
  </w:style>
  <w:style w:type="character" w:customStyle="1" w:styleId="HeaderChar">
    <w:name w:val="Header Char"/>
    <w:basedOn w:val="DefaultParagraphFont"/>
    <w:link w:val="Header"/>
    <w:uiPriority w:val="99"/>
    <w:rsid w:val="009B4288"/>
  </w:style>
  <w:style w:type="paragraph" w:styleId="Footer">
    <w:name w:val="footer"/>
    <w:basedOn w:val="Normal"/>
    <w:link w:val="FooterChar"/>
    <w:uiPriority w:val="99"/>
    <w:unhideWhenUsed/>
    <w:rsid w:val="009B4288"/>
    <w:pPr>
      <w:tabs>
        <w:tab w:val="center" w:pos="4680"/>
        <w:tab w:val="right" w:pos="9360"/>
      </w:tabs>
    </w:pPr>
  </w:style>
  <w:style w:type="character" w:customStyle="1" w:styleId="FooterChar">
    <w:name w:val="Footer Char"/>
    <w:basedOn w:val="DefaultParagraphFont"/>
    <w:link w:val="Footer"/>
    <w:uiPriority w:val="99"/>
    <w:rsid w:val="009B4288"/>
  </w:style>
  <w:style w:type="paragraph" w:styleId="Revision">
    <w:name w:val="Revision"/>
    <w:hidden/>
    <w:uiPriority w:val="99"/>
    <w:semiHidden/>
    <w:rsid w:val="005349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http://www.GleanUDS.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D982275-BAC3-4456-9C3E-BF121951DFC0}">
  <we:reference id="d51ccb01-85e7-42ab-885b-de05c07799f3" version="1.0.0.1" store="EXCatalog" storeType="EXCatalog"/>
  <we:alternateReferences>
    <we:reference id="WA200010453" version="1.0.0.1" store="en-US" storeType="OMEX"/>
  </we:alternateReferences>
  <we:properties>
    <we:property name="claude.fileId" value="&quot;b0a07c3b-05a8-40a9-aab5-bd2bc10b44d2&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cf589d9-6570-4945-bfab-757c411282e2" xsi:nil="true"/>
    <lcf76f155ced4ddcb4097134ff3c332f xmlns="626dc19b-3112-43e0-8192-b4059c1fb6b8">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3B8F382EA55794CA9067F8617271484" ma:contentTypeVersion="16" ma:contentTypeDescription="Create a new document." ma:contentTypeScope="" ma:versionID="ec2934895937b30ef1b6f51863655a17">
  <xsd:schema xmlns:xsd="http://www.w3.org/2001/XMLSchema" xmlns:xs="http://www.w3.org/2001/XMLSchema" xmlns:p="http://schemas.microsoft.com/office/2006/metadata/properties" xmlns:ns2="626dc19b-3112-43e0-8192-b4059c1fb6b8" xmlns:ns3="5cf589d9-6570-4945-bfab-757c411282e2" targetNamespace="http://schemas.microsoft.com/office/2006/metadata/properties" ma:root="true" ma:fieldsID="578755bb1448b0a609ae7fbfbf5993ae" ns2:_="" ns3:_="">
    <xsd:import namespace="626dc19b-3112-43e0-8192-b4059c1fb6b8"/>
    <xsd:import namespace="5cf589d9-6570-4945-bfab-757c411282e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6dc19b-3112-43e0-8192-b4059c1fb6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660190d-6ece-441c-9fa3-c5e641bb35e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cf589d9-6570-4945-bfab-757c411282e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80d0b00-e251-43af-9394-6bdad8118096}" ma:internalName="TaxCatchAll" ma:showField="CatchAllData" ma:web="5cf589d9-6570-4945-bfab-757c411282e2">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C72C2BA-B7E0-4004-BAC2-4E0C1CFEF823}">
  <ds:schemaRefs>
    <ds:schemaRef ds:uri="http://schemas.microsoft.com/office/2006/metadata/properties"/>
    <ds:schemaRef ds:uri="http://schemas.microsoft.com/office/infopath/2007/PartnerControls"/>
    <ds:schemaRef ds:uri="5cf589d9-6570-4945-bfab-757c411282e2"/>
    <ds:schemaRef ds:uri="626dc19b-3112-43e0-8192-b4059c1fb6b8"/>
  </ds:schemaRefs>
</ds:datastoreItem>
</file>

<file path=customXml/itemProps2.xml><?xml version="1.0" encoding="utf-8"?>
<ds:datastoreItem xmlns:ds="http://schemas.openxmlformats.org/officeDocument/2006/customXml" ds:itemID="{A623B746-1253-4AA0-B61D-9B2736DF36CB}">
  <ds:schemaRefs>
    <ds:schemaRef ds:uri="http://schemas.microsoft.com/sharepoint/v3/contenttype/forms"/>
  </ds:schemaRefs>
</ds:datastoreItem>
</file>

<file path=customXml/itemProps3.xml><?xml version="1.0" encoding="utf-8"?>
<ds:datastoreItem xmlns:ds="http://schemas.openxmlformats.org/officeDocument/2006/customXml" ds:itemID="{9DADC2B6-0B5D-46CA-BEBB-32700FB5A8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6dc19b-3112-43e0-8192-b4059c1fb6b8"/>
    <ds:schemaRef ds:uri="5cf589d9-6570-4945-bfab-757c411282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643</Words>
  <Characters>3997</Characters>
  <Application>Microsoft Office Word</Application>
  <DocSecurity>0</DocSecurity>
  <Lines>59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Kristen Comstock</dc:creator>
  <cp:lastModifiedBy>Suranjan Roychowdhury</cp:lastModifiedBy>
  <cp:revision>4</cp:revision>
  <dcterms:created xsi:type="dcterms:W3CDTF">2026-09-28T20:45:00Z</dcterms:created>
  <dcterms:modified xsi:type="dcterms:W3CDTF">2026-09-29T04:54:00Z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0x01010033B8F382EA55794CA9067F8617271484</vt:lpwstr>
  </property>
  <property fmtid="{D5CDD505-2E9C-101B-9397-08002B2CF9AE}" pid="3" name="MediaServiceImageTags">
    <vt:lpwstr/>
  </property>
</Properties>
</file>